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34" w:rsidRDefault="00A95E34">
      <w:pPr>
        <w:pStyle w:val="Default"/>
        <w:rPr>
          <w:color w:val="00000A"/>
        </w:rPr>
      </w:pPr>
      <w:bookmarkStart w:id="0" w:name="_GoBack"/>
      <w:bookmarkEnd w:id="0"/>
    </w:p>
    <w:p w:rsidR="00A95E34" w:rsidRDefault="00A43870">
      <w:pPr>
        <w:pStyle w:val="Default"/>
        <w:jc w:val="center"/>
      </w:pPr>
      <w:r>
        <w:rPr>
          <w:b/>
          <w:bCs/>
          <w:color w:val="00000A"/>
          <w:sz w:val="23"/>
          <w:szCs w:val="23"/>
        </w:rPr>
        <w:t xml:space="preserve">EDITAL 002 / Câmpus Valparaíso de Goiás/ IFG, de 28 de agosto de </w:t>
      </w:r>
      <w:proofErr w:type="gramStart"/>
      <w:r>
        <w:rPr>
          <w:b/>
          <w:bCs/>
          <w:color w:val="00000A"/>
          <w:sz w:val="23"/>
          <w:szCs w:val="23"/>
        </w:rPr>
        <w:t>2017</w:t>
      </w:r>
      <w:proofErr w:type="gramEnd"/>
    </w:p>
    <w:p w:rsidR="00A95E34" w:rsidRDefault="00A95E34">
      <w:pPr>
        <w:pStyle w:val="Default"/>
        <w:jc w:val="center"/>
        <w:rPr>
          <w:color w:val="00000A"/>
          <w:sz w:val="23"/>
          <w:szCs w:val="23"/>
        </w:rPr>
      </w:pPr>
    </w:p>
    <w:p w:rsidR="00A95E34" w:rsidRDefault="00A95E34">
      <w:pPr>
        <w:pStyle w:val="Default"/>
        <w:jc w:val="center"/>
        <w:rPr>
          <w:b/>
          <w:bCs/>
          <w:color w:val="00000A"/>
          <w:sz w:val="22"/>
          <w:szCs w:val="22"/>
        </w:rPr>
      </w:pPr>
    </w:p>
    <w:p w:rsidR="00A95E34" w:rsidRDefault="00A43870">
      <w:pPr>
        <w:pStyle w:val="Default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 xml:space="preserve">PROCESSO SELETIVO PARA ADMISSÃO DE MONITORES </w:t>
      </w:r>
    </w:p>
    <w:p w:rsidR="00A95E34" w:rsidRDefault="00A43870">
      <w:pPr>
        <w:pStyle w:val="Default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COM BOLSA</w:t>
      </w:r>
    </w:p>
    <w:p w:rsidR="00A95E34" w:rsidRDefault="00A95E34">
      <w:pPr>
        <w:pStyle w:val="Default"/>
        <w:jc w:val="center"/>
        <w:rPr>
          <w:color w:val="00000A"/>
          <w:sz w:val="22"/>
          <w:szCs w:val="22"/>
        </w:rPr>
      </w:pPr>
    </w:p>
    <w:p w:rsidR="00A95E34" w:rsidRDefault="00A43870">
      <w:pPr>
        <w:pStyle w:val="Default"/>
        <w:jc w:val="both"/>
      </w:pPr>
      <w:r>
        <w:rPr>
          <w:color w:val="00000A"/>
          <w:sz w:val="22"/>
          <w:szCs w:val="22"/>
        </w:rPr>
        <w:t xml:space="preserve">A Pró-Reitoria de Ensino e o Câmpus Valparaíso de Goiás do Instituto Federal de Educação, Ciência e Tecnologia de Goiás, por meio da Chefia de Departamento das Áreas Acadêmicas, torna pública a abertura de Processo Seletivo para o preenchimento de </w:t>
      </w:r>
      <w:r>
        <w:rPr>
          <w:b/>
          <w:bCs/>
          <w:color w:val="00000A"/>
          <w:sz w:val="22"/>
          <w:szCs w:val="22"/>
        </w:rPr>
        <w:t>08(oito)</w:t>
      </w:r>
      <w:r>
        <w:rPr>
          <w:b/>
          <w:bCs/>
          <w:color w:val="00000A"/>
          <w:sz w:val="22"/>
          <w:szCs w:val="22"/>
        </w:rPr>
        <w:t xml:space="preserve"> vagas </w:t>
      </w:r>
      <w:r>
        <w:rPr>
          <w:color w:val="00000A"/>
          <w:sz w:val="22"/>
          <w:szCs w:val="22"/>
        </w:rPr>
        <w:t xml:space="preserve">de bolsas de monitorias no Campus </w:t>
      </w:r>
      <w:r>
        <w:rPr>
          <w:b/>
          <w:bCs/>
          <w:color w:val="00000A"/>
          <w:sz w:val="22"/>
          <w:szCs w:val="22"/>
        </w:rPr>
        <w:t xml:space="preserve">Valparaíso de Goiás </w:t>
      </w:r>
      <w:r>
        <w:rPr>
          <w:bCs/>
          <w:color w:val="00000A"/>
          <w:sz w:val="22"/>
          <w:szCs w:val="22"/>
        </w:rPr>
        <w:t>do</w:t>
      </w:r>
      <w:r>
        <w:rPr>
          <w:color w:val="00000A"/>
          <w:sz w:val="22"/>
          <w:szCs w:val="22"/>
        </w:rPr>
        <w:t xml:space="preserve"> IFG, distribuídas conforme quadro constante do item 1.1. </w:t>
      </w:r>
      <w:proofErr w:type="gramStart"/>
      <w:r>
        <w:rPr>
          <w:color w:val="00000A"/>
          <w:sz w:val="22"/>
          <w:szCs w:val="22"/>
        </w:rPr>
        <w:t>deste</w:t>
      </w:r>
      <w:proofErr w:type="gramEnd"/>
      <w:r>
        <w:rPr>
          <w:color w:val="00000A"/>
          <w:sz w:val="22"/>
          <w:szCs w:val="22"/>
        </w:rPr>
        <w:t xml:space="preserve"> edital. As bolsas de monitoria a que se refere o presente edital destinam-se aos alunos regularmente matriculados que estejam cur</w:t>
      </w:r>
      <w:r>
        <w:rPr>
          <w:color w:val="00000A"/>
          <w:sz w:val="22"/>
          <w:szCs w:val="22"/>
        </w:rPr>
        <w:t xml:space="preserve">sando disciplinas da matriz curricular dos cursos técnicos e superiores presenciais ofertados pelo Campus </w:t>
      </w:r>
      <w:r>
        <w:rPr>
          <w:b/>
          <w:bCs/>
          <w:color w:val="00000A"/>
          <w:sz w:val="22"/>
          <w:szCs w:val="22"/>
        </w:rPr>
        <w:t xml:space="preserve">Valparaíso de Goiás </w:t>
      </w:r>
      <w:r>
        <w:rPr>
          <w:color w:val="00000A"/>
          <w:sz w:val="22"/>
          <w:szCs w:val="22"/>
        </w:rPr>
        <w:t>da Instituição no segundo semestre letivo de 2017, selecionados de acordo com as normas e critérios estabelecidos neste edital.</w:t>
      </w:r>
    </w:p>
    <w:p w:rsidR="00A95E34" w:rsidRDefault="00A95E34">
      <w:pPr>
        <w:pStyle w:val="Default"/>
        <w:jc w:val="both"/>
        <w:rPr>
          <w:color w:val="00000A"/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1"/>
        </w:numPr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D</w:t>
      </w:r>
      <w:r>
        <w:rPr>
          <w:b/>
          <w:bCs/>
          <w:color w:val="00000A"/>
          <w:sz w:val="22"/>
          <w:szCs w:val="22"/>
        </w:rPr>
        <w:t xml:space="preserve">O OBJETO </w:t>
      </w:r>
    </w:p>
    <w:p w:rsidR="00A95E34" w:rsidRDefault="00A95E34">
      <w:pPr>
        <w:pStyle w:val="Default"/>
        <w:rPr>
          <w:color w:val="00000A"/>
          <w:sz w:val="22"/>
          <w:szCs w:val="22"/>
        </w:rPr>
      </w:pPr>
    </w:p>
    <w:p w:rsidR="00A95E34" w:rsidRDefault="00A43870">
      <w:pPr>
        <w:pStyle w:val="Default"/>
        <w:jc w:val="both"/>
      </w:pPr>
      <w:r>
        <w:rPr>
          <w:color w:val="00000A"/>
          <w:sz w:val="22"/>
          <w:szCs w:val="22"/>
        </w:rPr>
        <w:t xml:space="preserve">O processo seletivo de que trata o presente edital destina-se ao preenchimento de </w:t>
      </w:r>
      <w:r>
        <w:rPr>
          <w:b/>
          <w:bCs/>
          <w:color w:val="00000A"/>
          <w:sz w:val="22"/>
          <w:szCs w:val="22"/>
        </w:rPr>
        <w:t xml:space="preserve">08 (oito) vagas </w:t>
      </w:r>
      <w:r>
        <w:rPr>
          <w:color w:val="00000A"/>
          <w:sz w:val="22"/>
          <w:szCs w:val="22"/>
        </w:rPr>
        <w:t>de monitorias com bolsa para as disciplinas abaixo relacionadas, por meio da seleção de alunos regularmente matriculados que estejam cursando disci</w:t>
      </w:r>
      <w:r>
        <w:rPr>
          <w:color w:val="00000A"/>
          <w:sz w:val="22"/>
          <w:szCs w:val="22"/>
        </w:rPr>
        <w:t>plinas da matriz curricular dos respectivos cursos regulares presenciais no segundo semestre letivo de 2017. A monitoria integra as ações de apoio às atividades acadêmicas e de estímulo à permanência do educando, constituindo-se em experiência formativa vi</w:t>
      </w:r>
      <w:r>
        <w:rPr>
          <w:color w:val="00000A"/>
          <w:sz w:val="22"/>
          <w:szCs w:val="22"/>
        </w:rPr>
        <w:t xml:space="preserve">venciada pelo discente, por meio </w:t>
      </w:r>
      <w:proofErr w:type="gramStart"/>
      <w:r>
        <w:rPr>
          <w:color w:val="00000A"/>
          <w:sz w:val="22"/>
          <w:szCs w:val="22"/>
        </w:rPr>
        <w:t>do</w:t>
      </w:r>
      <w:proofErr w:type="gramEnd"/>
      <w:r>
        <w:rPr>
          <w:color w:val="00000A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acompanhamento</w:t>
      </w:r>
      <w:proofErr w:type="gramEnd"/>
      <w:r>
        <w:rPr>
          <w:sz w:val="22"/>
          <w:szCs w:val="22"/>
        </w:rPr>
        <w:t xml:space="preserve"> do docente responsável pelas respectivas disciplinas.</w:t>
      </w:r>
    </w:p>
    <w:p w:rsidR="00A95E34" w:rsidRDefault="00A95E34">
      <w:pPr>
        <w:pStyle w:val="Default"/>
        <w:ind w:firstLine="426"/>
        <w:jc w:val="both"/>
        <w:rPr>
          <w:color w:val="00000A"/>
          <w:sz w:val="22"/>
          <w:szCs w:val="22"/>
        </w:rPr>
      </w:pPr>
    </w:p>
    <w:p w:rsidR="00A95E34" w:rsidRDefault="00A95E34">
      <w:pPr>
        <w:pStyle w:val="Default"/>
        <w:rPr>
          <w:color w:val="00000A"/>
          <w:sz w:val="18"/>
          <w:szCs w:val="18"/>
        </w:rPr>
      </w:pPr>
    </w:p>
    <w:tbl>
      <w:tblPr>
        <w:tblStyle w:val="Tabelacomgrade"/>
        <w:tblW w:w="867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82"/>
        <w:gridCol w:w="2128"/>
        <w:gridCol w:w="2551"/>
        <w:gridCol w:w="2409"/>
      </w:tblGrid>
      <w:tr w:rsidR="00A95E34">
        <w:tc>
          <w:tcPr>
            <w:tcW w:w="1581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Disciplina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Grau*/Curso(s) do candidato à monitoria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Grau*/Curso(s) a serem atendidos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Professor Responsável</w:t>
            </w:r>
          </w:p>
        </w:tc>
      </w:tr>
      <w:tr w:rsidR="00A95E34">
        <w:trPr>
          <w:trHeight w:val="653"/>
        </w:trPr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DESENHO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ENSINO MÉDIO (TÉCNICO MECÃNICA)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ENSINO MÉDIO 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( </w:t>
            </w:r>
            <w:proofErr w:type="gramEnd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TÉCNICO MECÃNICA)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POLLIANA CÂNDIDA OLIVEIRA MATINS</w:t>
            </w:r>
          </w:p>
        </w:tc>
      </w:tr>
      <w:tr w:rsidR="00A95E34">
        <w:trPr>
          <w:trHeight w:val="393"/>
        </w:trPr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CÁLCULO 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LIC. MATEMÁTICA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LIC. MATEMÁTICA 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DOUGLAS CAIXETA DE QUEIROZ</w:t>
            </w:r>
          </w:p>
        </w:tc>
      </w:tr>
      <w:tr w:rsidR="00A95E34"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GEOMETRIA ANALÍTICA 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LIC. MATEMÁTICA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LIC. MATEMÁTICA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DOUGLAS CAIXETA DE QUEIROZ</w:t>
            </w:r>
          </w:p>
        </w:tc>
      </w:tr>
      <w:tr w:rsidR="00A95E34">
        <w:trPr>
          <w:trHeight w:val="655"/>
        </w:trPr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CIRCUITOS ELÉTRICOS 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2</w:t>
            </w:r>
            <w:proofErr w:type="gramEnd"/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TÉCN. </w:t>
            </w: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ELETROTÉCNICA / EJA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TÉCN. ELETROTÉCNICA / EJA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JOÃO ROBERTO DEROCO MARTINS</w:t>
            </w:r>
          </w:p>
        </w:tc>
      </w:tr>
      <w:tr w:rsidR="00A95E34">
        <w:trPr>
          <w:trHeight w:val="724"/>
        </w:trPr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PROGRAMAÇÃO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TÉCN. ELETROTÉCNICA / EJA E 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MECÂNICA</w:t>
            </w:r>
            <w:proofErr w:type="gramEnd"/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TÉCN. ELETROTÉCNICA / EJA E 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MECÂNICA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sz w:val="16"/>
                <w:highlight w:val="white"/>
              </w:rPr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THIAGO MARTINS PEREIRA</w:t>
            </w:r>
          </w:p>
        </w:tc>
      </w:tr>
      <w:tr w:rsidR="00A95E34">
        <w:tc>
          <w:tcPr>
            <w:tcW w:w="158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MATEMÁTICA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ENSINO MÉDIO (TÉC. AUTOMAÇÃO/MECÃNICA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 ENSINO MÉDIO (TÉC. </w:t>
            </w: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 xml:space="preserve">AUTOMAÇÃO/MECÃNICA) / TÉCN. </w:t>
            </w:r>
            <w:proofErr w:type="gramStart"/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ELETROTÉCNICA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</w:pPr>
            <w:r>
              <w:rPr>
                <w:rFonts w:eastAsia="Arial"/>
                <w:b/>
                <w:color w:val="000000"/>
                <w:sz w:val="16"/>
                <w:shd w:val="clear" w:color="auto" w:fill="FFFFFF"/>
              </w:rPr>
              <w:t>LUIZ FERNANDO FERREIRA MACHADO</w:t>
            </w:r>
          </w:p>
        </w:tc>
      </w:tr>
      <w:tr w:rsidR="00A95E34">
        <w:tc>
          <w:tcPr>
            <w:tcW w:w="158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QUÍMICA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ENSINO MÉDIO (TÉC. AUTOMAÇÃO/MECÃNICA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1" w:name="__DdeLink__1389_3043229576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ENSINO MÉDIO (TÉC. AUTOMAÇÃO/MECÃNICA) / TÉCN. 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ELETROTÉ</w:t>
            </w:r>
            <w:bookmarkEnd w:id="1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CNICA</w:t>
            </w:r>
            <w:proofErr w:type="gramEnd"/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MARCOS ANTÔNIO CALIL JÚNIOR</w:t>
            </w:r>
          </w:p>
        </w:tc>
      </w:tr>
      <w:tr w:rsidR="00A95E34">
        <w:tc>
          <w:tcPr>
            <w:tcW w:w="158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FÍSICA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ENSINO MÉDIO (TÉC. AUTOMAÇÃO/MECÃNICA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ENSINO MÉDIO (TÉC. AUTOMAÇÃO/MECÃNICA) / TÉCN. 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ELETROTÉCNICA</w:t>
            </w:r>
            <w:proofErr w:type="gramEnd"/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95E34" w:rsidRDefault="00A43870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JEAN CARLO DE SOUSA E SILVA</w:t>
            </w:r>
          </w:p>
        </w:tc>
      </w:tr>
    </w:tbl>
    <w:p w:rsidR="00A95E34" w:rsidRDefault="00A95E34">
      <w:pPr>
        <w:pStyle w:val="Default"/>
        <w:rPr>
          <w:color w:val="00000A"/>
          <w:sz w:val="18"/>
          <w:szCs w:val="18"/>
        </w:rPr>
      </w:pPr>
    </w:p>
    <w:p w:rsidR="00A95E34" w:rsidRDefault="00A95E34">
      <w:pPr>
        <w:pStyle w:val="Default"/>
      </w:pP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O valor mensal da bolsa de monitoria é de R$ 360,00 (trezentos e sessenta reais) para exercer a monitoria pelo período letivo de </w:t>
      </w:r>
      <w:r>
        <w:rPr>
          <w:b/>
          <w:bCs/>
          <w:sz w:val="22"/>
          <w:szCs w:val="22"/>
        </w:rPr>
        <w:t xml:space="preserve">setembro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 xml:space="preserve">dezembro </w:t>
      </w:r>
      <w:r>
        <w:rPr>
          <w:sz w:val="22"/>
          <w:szCs w:val="22"/>
        </w:rPr>
        <w:t>de 2017</w:t>
      </w:r>
      <w:r>
        <w:rPr>
          <w:sz w:val="22"/>
          <w:szCs w:val="22"/>
        </w:rPr>
        <w:t>, considerando a data de término do segundo semestre letivo de 2017 do respectivo Câmpus.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1.3 As bolsas de monitoria disponibilizadas neste edital aplicam-se, somente, ao atendimento à disciplina na qual o aluno foi selecionado.</w:t>
      </w:r>
    </w:p>
    <w:p w:rsidR="00A95E34" w:rsidRDefault="00A43870">
      <w:pPr>
        <w:pStyle w:val="Default"/>
        <w:spacing w:after="2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Parágrafo único: </w:t>
      </w:r>
      <w:r>
        <w:rPr>
          <w:sz w:val="22"/>
          <w:szCs w:val="22"/>
        </w:rPr>
        <w:t>O acompanh</w:t>
      </w:r>
      <w:r>
        <w:rPr>
          <w:sz w:val="22"/>
          <w:szCs w:val="22"/>
        </w:rPr>
        <w:t xml:space="preserve">amento do atendimento aos discentes em disciplinas correlatadas é de responsabilidade dos docentes que deverá observar </w:t>
      </w:r>
      <w:proofErr w:type="gramStart"/>
      <w:r>
        <w:rPr>
          <w:sz w:val="22"/>
          <w:szCs w:val="22"/>
        </w:rPr>
        <w:t>todas as cláusulas constante no presente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regumento</w:t>
      </w:r>
      <w:proofErr w:type="spellEnd"/>
      <w:r>
        <w:rPr>
          <w:sz w:val="22"/>
          <w:szCs w:val="22"/>
        </w:rPr>
        <w:t>, não podendo sobrepor-se ao atendimento aos discentes na disciplina contemplada com bo</w:t>
      </w:r>
      <w:r>
        <w:rPr>
          <w:sz w:val="22"/>
          <w:szCs w:val="22"/>
        </w:rPr>
        <w:t>lsa de monitoria.</w:t>
      </w:r>
    </w:p>
    <w:p w:rsidR="00A95E34" w:rsidRDefault="00A43870">
      <w:pPr>
        <w:pStyle w:val="Default"/>
        <w:spacing w:after="202"/>
        <w:jc w:val="both"/>
      </w:pPr>
      <w:r>
        <w:rPr>
          <w:sz w:val="22"/>
          <w:szCs w:val="22"/>
        </w:rPr>
        <w:t xml:space="preserve">1.4 A seleção de monitores para atendimento às disciplinas </w:t>
      </w:r>
      <w:proofErr w:type="spellStart"/>
      <w:r>
        <w:rPr>
          <w:sz w:val="22"/>
          <w:szCs w:val="22"/>
        </w:rPr>
        <w:t>dar-ser-á</w:t>
      </w:r>
      <w:proofErr w:type="spellEnd"/>
      <w:r>
        <w:rPr>
          <w:sz w:val="22"/>
          <w:szCs w:val="22"/>
        </w:rPr>
        <w:t xml:space="preserve"> entre os alunos matriculados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no mesmo nível de ensino.</w:t>
      </w:r>
    </w:p>
    <w:p w:rsidR="00A95E34" w:rsidRDefault="00A95E34">
      <w:pPr>
        <w:pStyle w:val="Default"/>
        <w:spacing w:after="202"/>
        <w:jc w:val="both"/>
        <w:rPr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1"/>
        </w:numPr>
      </w:pPr>
      <w:r>
        <w:rPr>
          <w:b/>
          <w:bCs/>
          <w:sz w:val="22"/>
          <w:szCs w:val="22"/>
        </w:rPr>
        <w:t>DAS CONDIÇÕES PARA PARTICIPAR DO PROCESSO SELETIVO</w:t>
      </w:r>
    </w:p>
    <w:p w:rsidR="00A95E34" w:rsidRDefault="00A95E34">
      <w:pPr>
        <w:pStyle w:val="Default"/>
        <w:ind w:left="720"/>
        <w:rPr>
          <w:sz w:val="22"/>
          <w:szCs w:val="22"/>
        </w:rPr>
      </w:pP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Somente será considerado apto a participar do processo </w:t>
      </w:r>
      <w:r>
        <w:rPr>
          <w:sz w:val="22"/>
          <w:szCs w:val="22"/>
        </w:rPr>
        <w:t>seletivo, o candidato que preencher cumulativamente as seguintes condições:</w:t>
      </w:r>
    </w:p>
    <w:p w:rsidR="00A95E34" w:rsidRDefault="00A43870">
      <w:pPr>
        <w:pStyle w:val="Default"/>
        <w:spacing w:after="204"/>
        <w:jc w:val="both"/>
      </w:pPr>
      <w:r>
        <w:rPr>
          <w:sz w:val="22"/>
          <w:szCs w:val="22"/>
        </w:rPr>
        <w:t xml:space="preserve">2.1.1. Estar regularmente matriculado em um dos cursos regulares, presenciais, do Instituto Federal de Goiás. </w:t>
      </w:r>
    </w:p>
    <w:p w:rsidR="00A95E34" w:rsidRDefault="00A43870">
      <w:pPr>
        <w:pStyle w:val="Default"/>
        <w:spacing w:after="204"/>
        <w:jc w:val="both"/>
        <w:rPr>
          <w:sz w:val="22"/>
          <w:szCs w:val="22"/>
        </w:rPr>
      </w:pPr>
      <w:r>
        <w:rPr>
          <w:sz w:val="22"/>
          <w:szCs w:val="22"/>
        </w:rPr>
        <w:t>2.1.2. Ter obtido aprovação na disciplina para a qual pleiteia a moni</w:t>
      </w:r>
      <w:r>
        <w:rPr>
          <w:sz w:val="22"/>
          <w:szCs w:val="22"/>
        </w:rPr>
        <w:t>toria, com nota igual ou superior a 6,0 (seis).</w:t>
      </w:r>
    </w:p>
    <w:p w:rsidR="00A95E34" w:rsidRDefault="00A43870">
      <w:pPr>
        <w:pStyle w:val="Default"/>
        <w:spacing w:after="204"/>
        <w:jc w:val="both"/>
        <w:rPr>
          <w:sz w:val="22"/>
          <w:szCs w:val="22"/>
        </w:rPr>
      </w:pPr>
      <w:r>
        <w:rPr>
          <w:sz w:val="22"/>
          <w:szCs w:val="22"/>
        </w:rPr>
        <w:t>2.1.3. Ter disponibilidade de vinte horas semanais para atender as atividades de monitoria, nos horários definidos pelo respectivo Departamento de Áreas Acadêmicas, sem prejuízo das suas atividades acadêmicas</w:t>
      </w:r>
      <w:r>
        <w:rPr>
          <w:sz w:val="22"/>
          <w:szCs w:val="22"/>
        </w:rPr>
        <w:t xml:space="preserve"> regulares no curso. </w:t>
      </w:r>
    </w:p>
    <w:p w:rsidR="00A95E34" w:rsidRDefault="00A43870">
      <w:pPr>
        <w:pStyle w:val="Default"/>
        <w:spacing w:after="204"/>
        <w:jc w:val="both"/>
        <w:rPr>
          <w:sz w:val="22"/>
          <w:szCs w:val="22"/>
        </w:rPr>
      </w:pPr>
      <w:r>
        <w:rPr>
          <w:sz w:val="22"/>
          <w:szCs w:val="22"/>
        </w:rPr>
        <w:t>2.1.4. Não acumular qualquer outra modalidade de bolsa que requer o cumprimento de horas de atividade;</w:t>
      </w:r>
    </w:p>
    <w:p w:rsidR="00A95E34" w:rsidRDefault="00A43870">
      <w:pPr>
        <w:pStyle w:val="Default"/>
        <w:spacing w:after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Não acumular qualquer atividade remunerada que implique em contrapartida de cumprimento de horas de atividades. </w:t>
      </w:r>
    </w:p>
    <w:p w:rsidR="00A95E34" w:rsidRDefault="00A43870">
      <w:pPr>
        <w:pStyle w:val="Default"/>
        <w:spacing w:after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2.1.6. Não </w:t>
      </w:r>
      <w:r>
        <w:rPr>
          <w:sz w:val="22"/>
          <w:szCs w:val="22"/>
        </w:rPr>
        <w:t>estar cumprindo penalidade disciplinar de suspensão, nos termos previstos no Regulamento do Corpo Discente do IFG.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2.1.7. Realizar todos os procedimentos de inscrição nas datas e horários estabelecidos pelo presente edital de seleção de bolsistas de monito</w:t>
      </w:r>
      <w:r>
        <w:rPr>
          <w:sz w:val="22"/>
          <w:szCs w:val="22"/>
        </w:rPr>
        <w:t>ria.</w:t>
      </w:r>
    </w:p>
    <w:p w:rsidR="00A95E34" w:rsidRDefault="00A95E34">
      <w:pPr>
        <w:pStyle w:val="Default"/>
        <w:rPr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DAS INSCRIÇÕES E DOS DOCUMENTOS NECESSÁRIOS</w:t>
      </w:r>
    </w:p>
    <w:p w:rsidR="00A95E34" w:rsidRDefault="00A95E34">
      <w:pPr>
        <w:pStyle w:val="Default"/>
        <w:ind w:left="720"/>
        <w:rPr>
          <w:sz w:val="22"/>
          <w:szCs w:val="22"/>
        </w:rPr>
      </w:pPr>
    </w:p>
    <w:p w:rsidR="00A95E34" w:rsidRDefault="00A43870">
      <w:pPr>
        <w:pStyle w:val="Default"/>
        <w:spacing w:after="202"/>
        <w:jc w:val="both"/>
      </w:pPr>
      <w:r>
        <w:rPr>
          <w:sz w:val="22"/>
          <w:szCs w:val="22"/>
        </w:rPr>
        <w:t xml:space="preserve">3.1. As inscrições serão efetuadas no período de </w:t>
      </w:r>
      <w:r>
        <w:rPr>
          <w:b/>
          <w:bCs/>
          <w:sz w:val="22"/>
          <w:szCs w:val="22"/>
        </w:rPr>
        <w:t xml:space="preserve">28 a 31 de agosto de 2017, </w:t>
      </w:r>
      <w:r>
        <w:rPr>
          <w:sz w:val="22"/>
          <w:szCs w:val="22"/>
        </w:rPr>
        <w:t xml:space="preserve">nos horários de funcionamento do Departamento, mediante o preenchimento da ficha de inscrição e entrega da documentação exigida. 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3.2. O candidato deverá anexar uma cópia legível e atualizada do histórico escolar e da carteira de Identidade e preencher a ficha de inscrição fornecida pelo Departamento do campus, conforme anexo I - Ficha de Inscrição.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3.3. Os processos deverão ser end</w:t>
      </w:r>
      <w:r>
        <w:rPr>
          <w:sz w:val="22"/>
          <w:szCs w:val="22"/>
        </w:rPr>
        <w:t>ereçados aos Departamentos de Áreas Acadêmicas a que se vincula à disciplina, conforme tabela constante do item 1.1 do presente edital.</w:t>
      </w:r>
    </w:p>
    <w:p w:rsidR="00A95E34" w:rsidRDefault="00A95E34">
      <w:pPr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A95E34" w:rsidRDefault="00A95E34">
      <w:pPr>
        <w:spacing w:after="0" w:line="240" w:lineRule="auto"/>
        <w:rPr>
          <w:rFonts w:ascii="Symbol" w:hAnsi="Symbol" w:cs="Symbol"/>
          <w:color w:val="000000"/>
        </w:rPr>
      </w:pPr>
    </w:p>
    <w:p w:rsidR="00A95E34" w:rsidRDefault="00A43870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Symbol" w:hAnsi="Symbol" w:cs="Symbol"/>
          <w:color w:val="000000"/>
        </w:rPr>
        <w:t></w:t>
      </w:r>
      <w:r>
        <w:rPr>
          <w:rFonts w:ascii="Symbol" w:hAnsi="Symbol" w:cs="Symbol"/>
          <w:color w:val="000000"/>
        </w:rPr>
        <w:t>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b/>
          <w:bCs/>
          <w:color w:val="000000"/>
        </w:rPr>
        <w:t>DO PROCESSO SELETIVO</w:t>
      </w:r>
    </w:p>
    <w:p w:rsidR="00A95E34" w:rsidRDefault="00A95E3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A seleção de estudantes consistirá na média aritmética das duas etapas a seguir: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4.1.1 Classificação através do coeficiente de rendimento obtido através do histórico escolar;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4.1.2 Entrevista que terá a pontuação de 5 a 10;</w:t>
      </w:r>
    </w:p>
    <w:p w:rsidR="00A95E34" w:rsidRDefault="00A43870">
      <w:pPr>
        <w:spacing w:after="0" w:line="240" w:lineRule="auto"/>
        <w:ind w:left="1701" w:hanging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4.1.2.1 A entrevista deverá abordar perguntas sobre: disponibilidade e motivação para a </w:t>
      </w:r>
      <w:r>
        <w:rPr>
          <w:rFonts w:ascii="Arial" w:hAnsi="Arial" w:cs="Arial"/>
          <w:color w:val="000000"/>
        </w:rPr>
        <w:t>atuação como monitor, conhecimentos teórico/prático da disciplina em se pretende atuar e capacidade de comunicação.</w:t>
      </w:r>
    </w:p>
    <w:p w:rsidR="00A95E34" w:rsidRDefault="00A95E3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Para a condução do processo de seleção de monitorias o Departamento de Áreas Acadêmicas constituirá, para cada disciplina, uma comissã</w:t>
      </w:r>
      <w:r>
        <w:rPr>
          <w:rFonts w:ascii="Arial" w:hAnsi="Arial" w:cs="Arial"/>
          <w:color w:val="000000"/>
        </w:rPr>
        <w:t>o de avaliação composta por dois professores sendo um deles, necessariamente, o professor responsável pela disciplina e pelo acompanhamento do bolsista monitor.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Os candidatos serão classificados em ordem decrescente, com base no resultado final e conv</w:t>
      </w:r>
      <w:r>
        <w:rPr>
          <w:rFonts w:ascii="Arial" w:hAnsi="Arial" w:cs="Arial"/>
          <w:color w:val="000000"/>
        </w:rPr>
        <w:t>ocados de acordo com o número de vagas disponíveis respeitando-se a ordem de classificação.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Em caso de empate de notas será observado os seguintes critérios de desempate:</w:t>
      </w:r>
    </w:p>
    <w:p w:rsidR="00A95E34" w:rsidRDefault="00A43870">
      <w:pPr>
        <w:spacing w:after="202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A condição socioeconômica, atestada pela Coordenação de Assistência Estudanti</w:t>
      </w:r>
      <w:r>
        <w:rPr>
          <w:rFonts w:ascii="Arial" w:hAnsi="Arial" w:cs="Arial"/>
          <w:color w:val="000000"/>
        </w:rPr>
        <w:t>l.</w:t>
      </w:r>
    </w:p>
    <w:p w:rsidR="00A95E34" w:rsidRDefault="00A43870">
      <w:pPr>
        <w:spacing w:after="202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A maior nota na disciplina pleiteada verificado no sistema de gestão acadêmica do IFG.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O de maior idade.</w:t>
      </w:r>
    </w:p>
    <w:p w:rsidR="00A95E34" w:rsidRDefault="00A95E34">
      <w:pPr>
        <w:spacing w:after="0" w:line="240" w:lineRule="auto"/>
        <w:rPr>
          <w:rFonts w:ascii="Arial" w:hAnsi="Arial" w:cs="Arial"/>
          <w:color w:val="000000"/>
        </w:rPr>
      </w:pPr>
    </w:p>
    <w:p w:rsidR="00A95E34" w:rsidRDefault="00A4387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É vedado ao aluno que tiver cumprido penalidade disciplinar de suspensão, nos termos previstos pelo Regulamento do Corpo Discente do Ins</w:t>
      </w:r>
      <w:r>
        <w:rPr>
          <w:rFonts w:ascii="Arial" w:hAnsi="Arial" w:cs="Arial"/>
          <w:color w:val="000000"/>
        </w:rPr>
        <w:t xml:space="preserve">tituto Federal de Goiás, concorrer e/ou assumir atividades de monitoria. </w:t>
      </w:r>
    </w:p>
    <w:p w:rsidR="00A95E34" w:rsidRDefault="00A95E34">
      <w:pPr>
        <w:spacing w:after="0" w:line="240" w:lineRule="auto"/>
        <w:rPr>
          <w:rFonts w:ascii="Arial" w:hAnsi="Arial" w:cs="Arial"/>
          <w:color w:val="000000"/>
        </w:rPr>
      </w:pPr>
    </w:p>
    <w:p w:rsidR="00A95E34" w:rsidRDefault="00A43870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DAS ATRIBUIÇÕES DO DOCENTE RESPONSÁVEL</w:t>
      </w:r>
    </w:p>
    <w:p w:rsidR="00A95E34" w:rsidRDefault="00A95E34">
      <w:pPr>
        <w:pStyle w:val="PargrafodaLista"/>
        <w:spacing w:after="0" w:line="240" w:lineRule="auto"/>
        <w:rPr>
          <w:rFonts w:ascii="Arial" w:hAnsi="Arial" w:cs="Arial"/>
          <w:color w:val="000000"/>
        </w:rPr>
      </w:pPr>
    </w:p>
    <w:p w:rsidR="00A95E34" w:rsidRDefault="00A43870">
      <w:pPr>
        <w:spacing w:after="202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Responsabilizar-se pelo acompanhamento e supervisão de todas as atividades desenvolvidas pelo aluno monitor, assegurando a compatibilida</w:t>
      </w:r>
      <w:r>
        <w:rPr>
          <w:rFonts w:ascii="Arial" w:hAnsi="Arial" w:cs="Arial"/>
          <w:color w:val="000000"/>
        </w:rPr>
        <w:t>de de horários para que não haja prejuízo das atividades acadêmicas do mesmo no curso.</w:t>
      </w:r>
    </w:p>
    <w:p w:rsidR="00A95E34" w:rsidRDefault="00A43870">
      <w:pPr>
        <w:spacing w:after="202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5.2. Elaborar o Plano de Atividades de monitoria contemplando 20 (vinte) horas semanais do monitor assim distribuídas: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(oito) horas semanais para o acompanhamento das </w:t>
      </w:r>
      <w:r>
        <w:rPr>
          <w:rFonts w:ascii="Arial" w:hAnsi="Arial" w:cs="Arial"/>
          <w:color w:val="000000"/>
        </w:rPr>
        <w:t xml:space="preserve">atividades de planejamento teórico-prático e para o estudo individual no âmbito da disciplina e 12 (doze) horas semanais para atendimento direto aos alunos da disciplina, conforme anexo II - Plano de Atividade Monitoria. </w:t>
      </w:r>
    </w:p>
    <w:p w:rsidR="00A95E34" w:rsidRDefault="00A4387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Aprovar relatório mensal de c</w:t>
      </w:r>
      <w:r>
        <w:rPr>
          <w:rFonts w:ascii="Arial" w:hAnsi="Arial" w:cs="Arial"/>
          <w:color w:val="000000"/>
        </w:rPr>
        <w:t>umprimento de todas as atividades previstas, conforme anexo III - Relatório Mensal.</w:t>
      </w:r>
    </w:p>
    <w:p w:rsidR="00A95E34" w:rsidRDefault="00A95E34">
      <w:pPr>
        <w:pStyle w:val="Default"/>
        <w:jc w:val="both"/>
        <w:rPr>
          <w:sz w:val="22"/>
          <w:szCs w:val="22"/>
        </w:rPr>
      </w:pP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5.4. Responsabilizar-se pela avaliação de desempenho do aluno bolsista identificando necessidades de remanejamento de vagas e alunos, submetendo à apreciação do Departamen</w:t>
      </w:r>
      <w:r>
        <w:rPr>
          <w:sz w:val="22"/>
          <w:szCs w:val="22"/>
        </w:rPr>
        <w:t xml:space="preserve">to, conforme anexo IV - Ficha Avaliação Desempenho. 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5.5. Receber, aprovar e encaminhar o Relatório Final, anexo V - Relatório Final, para a Coordenação de Áreas Acadêmicas para arquivamento e controle.</w:t>
      </w:r>
    </w:p>
    <w:p w:rsidR="00A95E34" w:rsidRDefault="00A95E34">
      <w:pPr>
        <w:pStyle w:val="Default"/>
        <w:rPr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DAS ATRIBUIÇÕES DO ALUNO BOLSISTA </w:t>
      </w:r>
    </w:p>
    <w:p w:rsidR="00A95E34" w:rsidRDefault="00A95E34">
      <w:pPr>
        <w:pStyle w:val="Default"/>
        <w:ind w:left="1080"/>
        <w:rPr>
          <w:sz w:val="22"/>
          <w:szCs w:val="22"/>
        </w:rPr>
      </w:pP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Conhecer e </w:t>
      </w:r>
      <w:r>
        <w:rPr>
          <w:sz w:val="22"/>
          <w:szCs w:val="22"/>
        </w:rPr>
        <w:t>cumprir as normas constantes do presente Edital.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Responsabilizar-se pelo cumprimento das atividades constantes do Plano de Atividades de monitoria, conforme anexo II - Plano de Atividade Monitoria.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Responsabilizar-se pela execução das atividades </w:t>
      </w:r>
      <w:r>
        <w:rPr>
          <w:sz w:val="22"/>
          <w:szCs w:val="22"/>
        </w:rPr>
        <w:t>designadas para a monitoria, sem prejuízo das suas atividades acadêmicas.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6.4. Atender e auxiliar os alunos nas atividades teóricas e práticas da disciplina.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6.5. Cumprir com assiduidade e pontualidade as atividades de monitoria previstas no Plano de Ativi</w:t>
      </w:r>
      <w:r>
        <w:rPr>
          <w:sz w:val="22"/>
          <w:szCs w:val="22"/>
        </w:rPr>
        <w:t>dades.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6.6. Participar do processo de avaliação do programa de bolsas de monitoria, em conjunto com o docente responsável.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Apresentar ao Departamento de Áreas Acadêmicas, quando for o caso, solicitação de seu desligamento do Programa com antecedência </w:t>
      </w:r>
      <w:r>
        <w:rPr>
          <w:sz w:val="22"/>
          <w:szCs w:val="22"/>
        </w:rPr>
        <w:t>mínima de dez dias.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Parágrafo único. </w:t>
      </w:r>
      <w:r>
        <w:rPr>
          <w:sz w:val="22"/>
          <w:szCs w:val="22"/>
        </w:rPr>
        <w:t>O monitor não poderá assumir a realização de atividades técnico-administrativas, ministrar aulas, bem como aplicar ou corrigir provas, em substituição ao Professor.</w:t>
      </w:r>
    </w:p>
    <w:p w:rsidR="00A95E34" w:rsidRDefault="00A95E34">
      <w:pPr>
        <w:pStyle w:val="Default"/>
        <w:jc w:val="both"/>
        <w:rPr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DAS CONDIÇÕES DA MONITORIA COM BOLSA E DA ADMISSÃO</w:t>
      </w:r>
    </w:p>
    <w:p w:rsidR="00A95E34" w:rsidRDefault="00A95E34">
      <w:pPr>
        <w:pStyle w:val="Default"/>
        <w:ind w:left="1080"/>
        <w:rPr>
          <w:sz w:val="22"/>
          <w:szCs w:val="22"/>
        </w:rPr>
      </w:pP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.1. Assinar Termo de Compromisso de cumprimento de todas as normas constantes do presente edital e das atividades inerentes à monitoria.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Disponibilidade para jornada de monitoria de </w:t>
      </w:r>
      <w:proofErr w:type="gramStart"/>
      <w:r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(quatro) horas diárias e 20 (vinte) horas semanais, conforme horári</w:t>
      </w:r>
      <w:r>
        <w:rPr>
          <w:sz w:val="22"/>
          <w:szCs w:val="22"/>
        </w:rPr>
        <w:t>os definidos pelo professor-orientador com a anuência do Departamento de Áreas Acadêmicas, sendo que doze horas semanais devem ser de atendimento aos alunos e oito horas de estudo individual e acompanhamento das atividades de planejamento do professor.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>
        <w:rPr>
          <w:sz w:val="22"/>
          <w:szCs w:val="22"/>
        </w:rPr>
        <w:t xml:space="preserve">. O candidato selecionado deverá comparecer quando convocado pela Coordenação Acadêmica do Departamento de Áreas Acadêmicas do Câmpus para assinatura de Termo de Compromisso, conforme anexo VI - Termo de Compromisso. </w:t>
      </w:r>
    </w:p>
    <w:p w:rsidR="00A95E34" w:rsidRDefault="00A95E34">
      <w:pPr>
        <w:pStyle w:val="Default"/>
      </w:pP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O candidato selecionado deverá </w:t>
      </w:r>
      <w:r>
        <w:rPr>
          <w:sz w:val="22"/>
          <w:szCs w:val="22"/>
        </w:rPr>
        <w:t>apresentar os seguintes documentos na assinatura do Termo de Compromisso: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Cópia da Carteira de Identidade e CPF do estudante.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Nome do Banco, Agência e Conta-Corrente para depósito da bolsa. Comprovante de residência, com o CEP.</w:t>
      </w:r>
    </w:p>
    <w:p w:rsidR="00A95E34" w:rsidRDefault="00A95E34">
      <w:pPr>
        <w:pStyle w:val="Default"/>
        <w:jc w:val="both"/>
        <w:rPr>
          <w:sz w:val="22"/>
          <w:szCs w:val="22"/>
        </w:rPr>
      </w:pPr>
    </w:p>
    <w:p w:rsidR="00A95E34" w:rsidRDefault="00A43870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PAGAMENTO DA MONIT</w:t>
      </w:r>
      <w:r>
        <w:rPr>
          <w:b/>
          <w:bCs/>
          <w:sz w:val="22"/>
          <w:szCs w:val="22"/>
        </w:rPr>
        <w:t>ORIA</w:t>
      </w:r>
    </w:p>
    <w:p w:rsidR="00A95E34" w:rsidRDefault="00A95E34">
      <w:pPr>
        <w:pStyle w:val="Default"/>
        <w:ind w:left="1080"/>
        <w:jc w:val="both"/>
        <w:rPr>
          <w:sz w:val="22"/>
          <w:szCs w:val="22"/>
        </w:rPr>
      </w:pP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O valor mensal da bolsa de monitoria é de R$ 360,00 (trezentos e sessenta reais). Para efeito de cálculo do pagamento do monitor, considerar-se-á 30 dias de efetivo trabalho. Caso ocorra faltas pelo monitor ao atendimento das atividades de monit</w:t>
      </w:r>
      <w:r>
        <w:rPr>
          <w:sz w:val="22"/>
          <w:szCs w:val="22"/>
        </w:rPr>
        <w:t>oria, às mesmas deverão ser contabilizadas no cálculo do pagamento.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O Departamento de Áreas Acadêmicas deverá fazer o fechamento da planilha de pagamento todo dia 20 de cada mês e encaminhá-la à Diretoria de Administração do Câmpus, devidamente </w:t>
      </w:r>
      <w:r>
        <w:rPr>
          <w:sz w:val="22"/>
          <w:szCs w:val="22"/>
        </w:rPr>
        <w:t>assinada conforme anexo VII - Planilha de pagamento de bolsas de estudo e monitoria. Os pagamentos serão realizados pelo próprio Câmpus.</w:t>
      </w:r>
    </w:p>
    <w:p w:rsidR="00A95E34" w:rsidRDefault="00A95E34">
      <w:pPr>
        <w:pStyle w:val="Default"/>
        <w:jc w:val="both"/>
        <w:rPr>
          <w:sz w:val="22"/>
          <w:szCs w:val="22"/>
        </w:rPr>
      </w:pP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9. CRONOGRAMA E ETAPAS DO PROCESSO SELETIVO</w:t>
      </w:r>
      <w:proofErr w:type="gramStart"/>
      <w:r>
        <w:rPr>
          <w:b/>
          <w:bCs/>
          <w:sz w:val="22"/>
          <w:szCs w:val="22"/>
        </w:rPr>
        <w:t xml:space="preserve">  </w:t>
      </w:r>
    </w:p>
    <w:p w:rsidR="00A95E34" w:rsidRDefault="00A95E34">
      <w:pPr>
        <w:pStyle w:val="Default"/>
        <w:jc w:val="both"/>
        <w:rPr>
          <w:sz w:val="22"/>
          <w:szCs w:val="22"/>
        </w:rPr>
      </w:pPr>
      <w:proofErr w:type="gramEnd"/>
    </w:p>
    <w:p w:rsidR="00A95E34" w:rsidRDefault="00A95E34">
      <w:pPr>
        <w:pStyle w:val="Default"/>
      </w:pPr>
    </w:p>
    <w:tbl>
      <w:tblPr>
        <w:tblStyle w:val="Tabelacomgrade"/>
        <w:tblW w:w="949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6235"/>
        <w:gridCol w:w="2584"/>
      </w:tblGrid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95E3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Etapas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Período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Inscrição dos candidatos no Setor de Protocolo do C</w:t>
            </w:r>
            <w:r>
              <w:rPr>
                <w:b/>
                <w:bCs/>
                <w:sz w:val="22"/>
                <w:szCs w:val="22"/>
              </w:rPr>
              <w:t>âmpus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28 a 30/08/2017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Aplicação das entrevistas 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01/09/17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da publicação do resultado processo pelo Departamento de Áreas Acadêmicas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04/09/17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para apresentação de recurso contra o resultado do processo junto ao Departamento de Áreas </w:t>
            </w:r>
            <w:r>
              <w:rPr>
                <w:b/>
                <w:bCs/>
                <w:sz w:val="22"/>
                <w:szCs w:val="22"/>
              </w:rPr>
              <w:t>Acadêmicas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05/09/17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para o Departamento de Áreas Acadêmicas </w:t>
            </w:r>
            <w:proofErr w:type="gramStart"/>
            <w:r>
              <w:rPr>
                <w:b/>
                <w:bCs/>
                <w:sz w:val="22"/>
                <w:szCs w:val="22"/>
              </w:rPr>
              <w:t>do Câmpus publicar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o resultado final do processo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05/09/17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Assinatura do Termo de Compromisso e entrega dos documentos dos candidatos convocados, no Departamento de Áreas </w:t>
            </w:r>
            <w:proofErr w:type="gramStart"/>
            <w:r>
              <w:rPr>
                <w:sz w:val="22"/>
                <w:szCs w:val="22"/>
              </w:rPr>
              <w:t>Acadêmicas</w:t>
            </w:r>
            <w:proofErr w:type="gramEnd"/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06/0</w:t>
            </w:r>
            <w:r>
              <w:rPr>
                <w:b/>
                <w:bCs/>
                <w:sz w:val="22"/>
                <w:szCs w:val="22"/>
              </w:rPr>
              <w:t>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 monitoria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07/09/17</w:t>
            </w:r>
          </w:p>
        </w:tc>
      </w:tr>
      <w:tr w:rsidR="00A95E3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6235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Término da monitoria</w:t>
            </w:r>
          </w:p>
        </w:tc>
        <w:tc>
          <w:tcPr>
            <w:tcW w:w="2584" w:type="dxa"/>
            <w:shd w:val="clear" w:color="auto" w:fill="auto"/>
            <w:tcMar>
              <w:left w:w="103" w:type="dxa"/>
            </w:tcMar>
          </w:tcPr>
          <w:p w:rsidR="00A95E34" w:rsidRDefault="00A4387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09/12/17</w:t>
            </w:r>
          </w:p>
        </w:tc>
      </w:tr>
    </w:tbl>
    <w:p w:rsidR="00A95E34" w:rsidRDefault="00A4387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A95E34" w:rsidRDefault="00A95E34">
      <w:pPr>
        <w:pStyle w:val="Default"/>
      </w:pPr>
    </w:p>
    <w:p w:rsidR="00A95E34" w:rsidRDefault="00A4387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DISPOSIÇÕES FINAIS </w:t>
      </w:r>
    </w:p>
    <w:p w:rsidR="00A95E34" w:rsidRDefault="00A95E34">
      <w:pPr>
        <w:pStyle w:val="Default"/>
        <w:rPr>
          <w:sz w:val="22"/>
          <w:szCs w:val="22"/>
        </w:rPr>
      </w:pP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É de responsabilidade da Chefia do Departamento de Áreas Acadêmicas do Câmpus a conferência das informações prestadas, bem como solicitar o </w:t>
      </w:r>
      <w:r>
        <w:rPr>
          <w:sz w:val="22"/>
          <w:szCs w:val="22"/>
        </w:rPr>
        <w:t>cancelamento da bolsa e o desligamento do aluno do programa de bolsa quando comprovada falsidade nas informações e /ou documentos apresentados.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10.2. A inscrição do candidato implica no conhecimento e aceitação das cláusulas do presente edital.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Informações adicionais poderão ser obtidas junto a Coordenação Acadêmica do Departamento de Áreas Acadêmicas do Câmpus. 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10.4. A ausência às atividades regulares de monitoria por período superior a três (03) dias consecutivos ou sete (07) intercalado</w:t>
      </w:r>
      <w:r>
        <w:rPr>
          <w:sz w:val="22"/>
          <w:szCs w:val="22"/>
        </w:rPr>
        <w:t xml:space="preserve">s, sem apresentar justificativa ou se a mesma for indeferida pelo Departamento responsável, implicará no desligamento do aluno do programa. 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10.5. O bolsista de monitoria excluído do programa de bolsas de monitoria poderá ser substituído por outro aluno cl</w:t>
      </w:r>
      <w:r>
        <w:rPr>
          <w:sz w:val="22"/>
          <w:szCs w:val="22"/>
        </w:rPr>
        <w:t>assificado no processo de seleção, dentro dos prazos de vigência do Edital.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10.6. O aluno poderá concorrer e atuar como bolsista monitor na mesma disciplina por, apenas, dois períodos letivos consecutivos ou intercalados.</w:t>
      </w:r>
    </w:p>
    <w:p w:rsidR="00A95E34" w:rsidRDefault="00A43870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>10.7. Para os casos em que o aluno</w:t>
      </w:r>
      <w:r>
        <w:rPr>
          <w:sz w:val="22"/>
          <w:szCs w:val="22"/>
        </w:rPr>
        <w:t xml:space="preserve"> já atuou em dois semestres letivos consecutivos, o mesmo poderá concorrer, mas não poderá assumir caso haja outro aluno aprovado.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10.8. A inserção do aluno no programa de bolsas de monitoria na condição de voluntário, sem o recebimento de bolsa mensal de </w:t>
      </w:r>
      <w:r>
        <w:rPr>
          <w:sz w:val="22"/>
          <w:szCs w:val="22"/>
        </w:rPr>
        <w:t xml:space="preserve">monitoria, não desobriga o mesmo do cumprimento da todas as condições e acompanhamento docente previstos no presente edital. </w:t>
      </w:r>
    </w:p>
    <w:p w:rsidR="00A95E34" w:rsidRDefault="00A4387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Parágrafo Único. </w:t>
      </w:r>
      <w:r>
        <w:rPr>
          <w:sz w:val="22"/>
          <w:szCs w:val="22"/>
        </w:rPr>
        <w:t>Somente poderá se candidatar a monitoria na condição de voluntário, alunos classificados no processo de seleção d</w:t>
      </w:r>
      <w:r>
        <w:rPr>
          <w:sz w:val="22"/>
          <w:szCs w:val="22"/>
        </w:rPr>
        <w:t>e monitoria por meio de edital.</w:t>
      </w:r>
    </w:p>
    <w:p w:rsidR="00A95E34" w:rsidRDefault="00A438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10.9. O aluno bolsista de monitoria terá direito a declaração de participação no programa de bolsas de monitoria contendo o respectivo número de horas de participação no mesmo, emitido pelo Departamento de Áreas Acadêmicas d</w: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câmpus</w:t>
      </w:r>
      <w:proofErr w:type="spellEnd"/>
      <w:r>
        <w:rPr>
          <w:sz w:val="22"/>
          <w:szCs w:val="22"/>
        </w:rPr>
        <w:t xml:space="preserve"> de origem. </w:t>
      </w:r>
    </w:p>
    <w:p w:rsidR="00A95E34" w:rsidRDefault="00A95E34">
      <w:pPr>
        <w:pStyle w:val="Default"/>
        <w:rPr>
          <w:sz w:val="22"/>
          <w:szCs w:val="22"/>
        </w:rPr>
      </w:pPr>
    </w:p>
    <w:p w:rsidR="00A95E34" w:rsidRDefault="00A43870">
      <w:pPr>
        <w:pStyle w:val="Default"/>
        <w:jc w:val="right"/>
      </w:pPr>
      <w:r>
        <w:rPr>
          <w:sz w:val="22"/>
          <w:szCs w:val="22"/>
        </w:rPr>
        <w:tab/>
      </w:r>
    </w:p>
    <w:p w:rsidR="00A95E34" w:rsidRDefault="00A43870">
      <w:pPr>
        <w:pStyle w:val="Default"/>
        <w:jc w:val="right"/>
      </w:pPr>
      <w:r>
        <w:rPr>
          <w:sz w:val="22"/>
          <w:szCs w:val="22"/>
        </w:rPr>
        <w:lastRenderedPageBreak/>
        <w:t xml:space="preserve">Valparaíso de Goiás, 28 de agosto de </w:t>
      </w:r>
      <w:proofErr w:type="gramStart"/>
      <w:r>
        <w:rPr>
          <w:sz w:val="22"/>
          <w:szCs w:val="22"/>
        </w:rPr>
        <w:t>2017</w:t>
      </w:r>
      <w:proofErr w:type="gramEnd"/>
    </w:p>
    <w:p w:rsidR="00A95E34" w:rsidRDefault="00A95E34">
      <w:pPr>
        <w:pStyle w:val="Default"/>
        <w:jc w:val="right"/>
        <w:rPr>
          <w:sz w:val="22"/>
          <w:szCs w:val="22"/>
        </w:rPr>
      </w:pPr>
    </w:p>
    <w:p w:rsidR="00A95E34" w:rsidRDefault="00A95E34">
      <w:pPr>
        <w:pStyle w:val="Default"/>
        <w:jc w:val="right"/>
        <w:rPr>
          <w:sz w:val="22"/>
          <w:szCs w:val="22"/>
        </w:rPr>
      </w:pPr>
    </w:p>
    <w:p w:rsidR="00A95E34" w:rsidRDefault="00A95E34">
      <w:pPr>
        <w:pStyle w:val="Default"/>
        <w:jc w:val="right"/>
        <w:rPr>
          <w:sz w:val="22"/>
          <w:szCs w:val="22"/>
        </w:rPr>
      </w:pPr>
    </w:p>
    <w:p w:rsidR="00A95E34" w:rsidRDefault="00A43870">
      <w:pPr>
        <w:pStyle w:val="Default"/>
        <w:jc w:val="center"/>
      </w:pPr>
      <w:r>
        <w:rPr>
          <w:sz w:val="22"/>
          <w:szCs w:val="22"/>
        </w:rPr>
        <w:t xml:space="preserve">Direção do Campus                                      </w:t>
      </w:r>
    </w:p>
    <w:sectPr w:rsidR="00A95E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70" w:rsidRDefault="00A43870">
      <w:pPr>
        <w:spacing w:after="0" w:line="240" w:lineRule="auto"/>
      </w:pPr>
      <w:r>
        <w:separator/>
      </w:r>
    </w:p>
  </w:endnote>
  <w:endnote w:type="continuationSeparator" w:id="0">
    <w:p w:rsidR="00A43870" w:rsidRDefault="00A4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97546"/>
      <w:docPartObj>
        <w:docPartGallery w:val="Page Numbers (Bottom of Page)"/>
        <w:docPartUnique/>
      </w:docPartObj>
    </w:sdtPr>
    <w:sdtEndPr/>
    <w:sdtContent>
      <w:p w:rsidR="00A95E34" w:rsidRDefault="00A43870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14D85">
          <w:rPr>
            <w:noProof/>
          </w:rPr>
          <w:t>1</w:t>
        </w:r>
        <w:r>
          <w:fldChar w:fldCharType="end"/>
        </w:r>
      </w:p>
    </w:sdtContent>
  </w:sdt>
  <w:p w:rsidR="00A95E34" w:rsidRDefault="00A95E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70" w:rsidRDefault="00A43870">
      <w:pPr>
        <w:spacing w:after="0" w:line="240" w:lineRule="auto"/>
      </w:pPr>
      <w:r>
        <w:separator/>
      </w:r>
    </w:p>
  </w:footnote>
  <w:footnote w:type="continuationSeparator" w:id="0">
    <w:p w:rsidR="00A43870" w:rsidRDefault="00A4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34" w:rsidRDefault="00A43870">
    <w:pPr>
      <w:pStyle w:val="Cabealho"/>
    </w:pPr>
    <w:r>
      <w:rPr>
        <w:noProof/>
        <w:lang w:eastAsia="pt-BR"/>
      </w:rPr>
      <w:drawing>
        <wp:inline distT="0" distB="0" distL="0" distR="0">
          <wp:extent cx="1074420" cy="62992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3183D7B3">
              <wp:simplePos x="0" y="0"/>
              <wp:positionH relativeFrom="column">
                <wp:posOffset>1156970</wp:posOffset>
              </wp:positionH>
              <wp:positionV relativeFrom="paragraph">
                <wp:posOffset>19165570</wp:posOffset>
              </wp:positionV>
              <wp:extent cx="4880610" cy="839470"/>
              <wp:effectExtent l="0" t="0" r="17145" b="2413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9800" cy="83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95E34" w:rsidRDefault="00A43870">
                          <w:pPr>
                            <w:pStyle w:val="Defaul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MINISTÉRIO DA EDUCAÇÃO SECRETARIA DE EDUCAÇÃO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PROFISSIONAL E TECNOLÓGICA INSTITUTO FEDERAL DE EDUCAÇÃO, CIÊNCIA E TECNOLOGIA DE GOIÁS PRÓ-REITORIA DE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ENSINO</w:t>
                          </w:r>
                          <w:proofErr w:type="gramEnd"/>
                        </w:p>
                        <w:p w:rsidR="00A95E34" w:rsidRDefault="00A43870">
                          <w:pPr>
                            <w:pStyle w:val="Default"/>
                            <w:jc w:val="center"/>
                          </w:pPr>
                          <w:r>
                            <w:rPr>
                              <w:color w:val="00000A"/>
                              <w:sz w:val="18"/>
                              <w:szCs w:val="18"/>
                            </w:rPr>
                            <w:t>Pró-Reitoria de Ensino do IFG Av. Assis Chateaubriand nº 1.658, Setor Oeste, CEP: 74130-012 Goiânia-</w:t>
                          </w:r>
                          <w:proofErr w:type="gramStart"/>
                          <w:r>
                            <w:rPr>
                              <w:color w:val="00000A"/>
                              <w:sz w:val="18"/>
                              <w:szCs w:val="18"/>
                            </w:rPr>
                            <w:t>GO</w:t>
                          </w:r>
                          <w:proofErr w:type="gram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t" style="position:absolute;margin-left:91.1pt;margin-top:1509.1pt;width:384.2pt;height:66pt" wp14:anchorId="3183D7B3">
              <w10:wrap type="square"/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Defaul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MINISTÉRIO DA EDUCAÇÃO SECRETARIA DE EDUCAÇÃO PROFISSIONAL E TECNOLÓGICA INSTITUTO FEDERAL DE EDUCAÇÃO, CIÊNCIA E TECNOLOGIA DE GOIÁS PRÓ-REITORIA DE ENSINO</w:t>
                    </w:r>
                  </w:p>
                  <w:p>
                    <w:pPr>
                      <w:pStyle w:val="Default"/>
                      <w:jc w:val="center"/>
                      <w:rPr/>
                    </w:pPr>
                    <w:r>
                      <w:rPr>
                        <w:color w:val="00000A"/>
                        <w:sz w:val="18"/>
                        <w:szCs w:val="18"/>
                      </w:rPr>
                      <w:t>Pró-Reitoria de Ensino do IFG Av. Assis Chateaubriand nº 1.658, Setor Oeste, CEP: 74130-012 Goiânia-GO</w:t>
                    </w:r>
                  </w:p>
                </w:txbxContent>
              </v:textbox>
            </v:rect>
          </w:pict>
        </mc:Fallback>
      </mc:AlternateContent>
    </w:r>
  </w:p>
  <w:p w:rsidR="00A95E34" w:rsidRDefault="00A95E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9DE"/>
    <w:multiLevelType w:val="multilevel"/>
    <w:tmpl w:val="81AC2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49934712"/>
    <w:multiLevelType w:val="multilevel"/>
    <w:tmpl w:val="78C6D3E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4E4F99"/>
    <w:multiLevelType w:val="multilevel"/>
    <w:tmpl w:val="B8145E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34"/>
    <w:rsid w:val="00A14D85"/>
    <w:rsid w:val="00A43870"/>
    <w:rsid w:val="00A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504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F16E1"/>
  </w:style>
  <w:style w:type="character" w:customStyle="1" w:styleId="RodapChar">
    <w:name w:val="Rodapé Char"/>
    <w:basedOn w:val="Fontepargpadro"/>
    <w:link w:val="Rodap"/>
    <w:uiPriority w:val="99"/>
    <w:qFormat/>
    <w:rsid w:val="009F16E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15044"/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0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16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16E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F16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C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504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F16E1"/>
  </w:style>
  <w:style w:type="character" w:customStyle="1" w:styleId="RodapChar">
    <w:name w:val="Rodapé Char"/>
    <w:basedOn w:val="Fontepargpadro"/>
    <w:link w:val="Rodap"/>
    <w:uiPriority w:val="99"/>
    <w:qFormat/>
    <w:rsid w:val="009F16E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15044"/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0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16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16E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F16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C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2071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0000</cp:lastModifiedBy>
  <cp:revision>2</cp:revision>
  <cp:lastPrinted>2016-08-15T21:54:00Z</cp:lastPrinted>
  <dcterms:created xsi:type="dcterms:W3CDTF">2017-08-28T17:23:00Z</dcterms:created>
  <dcterms:modified xsi:type="dcterms:W3CDTF">2017-08-28T17:23:00Z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